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81" w:rsidRPr="000654C5" w:rsidRDefault="00BD6743" w:rsidP="00BD6743">
      <w:pPr>
        <w:jc w:val="center"/>
        <w:rPr>
          <w:rFonts w:eastAsia="Times New Roman" w:cs="Times New Roman"/>
          <w:b/>
          <w:bCs/>
          <w:color w:val="382E2C"/>
          <w:sz w:val="24"/>
          <w:szCs w:val="24"/>
          <w:lang w:eastAsia="ru-RU"/>
        </w:rPr>
      </w:pPr>
      <w:r w:rsidRPr="000654C5">
        <w:rPr>
          <w:rFonts w:eastAsia="Times New Roman" w:cs="Times New Roman"/>
          <w:b/>
          <w:bCs/>
          <w:color w:val="382E2C"/>
          <w:sz w:val="24"/>
          <w:szCs w:val="24"/>
          <w:lang w:eastAsia="ru-RU"/>
        </w:rPr>
        <w:t>БРЯНСКАЯ ОБЛАСТЬ</w:t>
      </w:r>
    </w:p>
    <w:p w:rsidR="00BD6743" w:rsidRPr="000654C5" w:rsidRDefault="00BD6743" w:rsidP="00BD6743">
      <w:pPr>
        <w:jc w:val="center"/>
        <w:rPr>
          <w:rFonts w:eastAsia="Times New Roman" w:cs="Times New Roman"/>
          <w:b/>
          <w:bCs/>
          <w:color w:val="382E2C"/>
          <w:sz w:val="24"/>
          <w:szCs w:val="24"/>
          <w:lang w:eastAsia="ru-RU"/>
        </w:rPr>
      </w:pPr>
      <w:r w:rsidRPr="000654C5">
        <w:rPr>
          <w:rFonts w:eastAsia="Times New Roman" w:cs="Times New Roman"/>
          <w:b/>
          <w:bCs/>
          <w:color w:val="382E2C"/>
          <w:sz w:val="24"/>
          <w:szCs w:val="24"/>
          <w:lang w:eastAsia="ru-RU"/>
        </w:rPr>
        <w:t>БРЯНСКИЙ РАЙОН</w:t>
      </w:r>
    </w:p>
    <w:p w:rsidR="00BD6743" w:rsidRPr="000654C5" w:rsidRDefault="00BD6743" w:rsidP="00BD6743">
      <w:pPr>
        <w:jc w:val="center"/>
        <w:rPr>
          <w:rFonts w:eastAsia="Times New Roman" w:cs="Times New Roman"/>
          <w:b/>
          <w:bCs/>
          <w:color w:val="382E2C"/>
          <w:sz w:val="24"/>
          <w:szCs w:val="24"/>
          <w:lang w:eastAsia="ru-RU"/>
        </w:rPr>
      </w:pPr>
      <w:r w:rsidRPr="000654C5">
        <w:rPr>
          <w:rFonts w:eastAsia="Times New Roman" w:cs="Times New Roman"/>
          <w:b/>
          <w:bCs/>
          <w:color w:val="382E2C"/>
          <w:sz w:val="24"/>
          <w:szCs w:val="24"/>
          <w:lang w:eastAsia="ru-RU"/>
        </w:rPr>
        <w:t>СУПОНЕВСКОЕ СЕЛЬСКОЕ ПОСЕЛЕНИЕ</w:t>
      </w:r>
    </w:p>
    <w:p w:rsidR="00BD6743" w:rsidRPr="000654C5" w:rsidRDefault="00BD6743" w:rsidP="00BD6743">
      <w:pPr>
        <w:jc w:val="cente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СУПОНЕВСКИЙ СЕЛЬСКИЙ СОВЕТ НАРОДНЫХ ДЕПУТАТОВ</w:t>
      </w:r>
    </w:p>
    <w:p w:rsidR="000B3081" w:rsidRPr="000654C5" w:rsidRDefault="000B3081" w:rsidP="00BD6743">
      <w:pPr>
        <w:jc w:val="center"/>
        <w:rPr>
          <w:rFonts w:eastAsia="Times New Roman" w:cs="Times New Roman"/>
          <w:color w:val="382E2C"/>
          <w:sz w:val="24"/>
          <w:szCs w:val="24"/>
          <w:lang w:eastAsia="ru-RU"/>
        </w:rPr>
      </w:pPr>
    </w:p>
    <w:p w:rsidR="000B3081" w:rsidRPr="000654C5" w:rsidRDefault="000B3081" w:rsidP="00BD6743">
      <w:pPr>
        <w:jc w:val="cente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РЕШЕНИЕ</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w:t>
      </w:r>
    </w:p>
    <w:p w:rsidR="000B3081" w:rsidRPr="000654C5" w:rsidRDefault="000B3081" w:rsidP="00A95FF7">
      <w:pPr>
        <w:spacing w:after="300"/>
        <w:rPr>
          <w:rFonts w:eastAsia="Times New Roman" w:cs="Times New Roman"/>
          <w:color w:val="382E2C"/>
          <w:sz w:val="24"/>
          <w:szCs w:val="24"/>
          <w:lang w:eastAsia="ru-RU"/>
        </w:rPr>
      </w:pPr>
      <w:r w:rsidRPr="00A95FF7">
        <w:rPr>
          <w:rFonts w:eastAsia="Times New Roman" w:cs="Times New Roman"/>
          <w:color w:val="382E2C"/>
          <w:sz w:val="24"/>
          <w:szCs w:val="24"/>
          <w:lang w:eastAsia="ru-RU"/>
        </w:rPr>
        <w:t xml:space="preserve">от </w:t>
      </w:r>
      <w:r w:rsidR="00A95FF7" w:rsidRPr="00A95FF7">
        <w:rPr>
          <w:rFonts w:eastAsia="Times New Roman" w:cs="Times New Roman"/>
          <w:color w:val="382E2C"/>
          <w:sz w:val="24"/>
          <w:szCs w:val="24"/>
          <w:lang w:eastAsia="ru-RU"/>
        </w:rPr>
        <w:t>10</w:t>
      </w:r>
      <w:r w:rsidRPr="00A95FF7">
        <w:rPr>
          <w:rFonts w:eastAsia="Times New Roman" w:cs="Times New Roman"/>
          <w:color w:val="382E2C"/>
          <w:sz w:val="24"/>
          <w:szCs w:val="24"/>
          <w:lang w:eastAsia="ru-RU"/>
        </w:rPr>
        <w:t>.0</w:t>
      </w:r>
      <w:r w:rsidR="00A95FF7" w:rsidRPr="00A95FF7">
        <w:rPr>
          <w:rFonts w:eastAsia="Times New Roman" w:cs="Times New Roman"/>
          <w:color w:val="382E2C"/>
          <w:sz w:val="24"/>
          <w:szCs w:val="24"/>
          <w:lang w:eastAsia="ru-RU"/>
        </w:rPr>
        <w:t>8</w:t>
      </w:r>
      <w:r w:rsidRPr="00A95FF7">
        <w:rPr>
          <w:rFonts w:eastAsia="Times New Roman" w:cs="Times New Roman"/>
          <w:color w:val="382E2C"/>
          <w:sz w:val="24"/>
          <w:szCs w:val="24"/>
          <w:lang w:eastAsia="ru-RU"/>
        </w:rPr>
        <w:t xml:space="preserve">.2021 № </w:t>
      </w:r>
      <w:r w:rsidR="00A95FF7" w:rsidRPr="00A95FF7">
        <w:rPr>
          <w:rFonts w:eastAsia="Times New Roman" w:cs="Times New Roman"/>
          <w:color w:val="382E2C"/>
          <w:sz w:val="24"/>
          <w:szCs w:val="24"/>
          <w:lang w:eastAsia="ru-RU"/>
        </w:rPr>
        <w:t>4-21-3</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с. </w:t>
      </w:r>
      <w:r w:rsidR="00BD6743" w:rsidRPr="000654C5">
        <w:rPr>
          <w:rFonts w:eastAsia="Times New Roman" w:cs="Times New Roman"/>
          <w:color w:val="382E2C"/>
          <w:sz w:val="24"/>
          <w:szCs w:val="24"/>
          <w:lang w:eastAsia="ru-RU"/>
        </w:rPr>
        <w:t>Супонево</w:t>
      </w:r>
    </w:p>
    <w:p w:rsidR="00A95FF7" w:rsidRPr="00A95FF7" w:rsidRDefault="000B3081" w:rsidP="0055308F">
      <w:pPr>
        <w:rPr>
          <w:rFonts w:eastAsia="Times New Roman" w:cs="Times New Roman"/>
          <w:bCs/>
          <w:color w:val="382E2C"/>
          <w:sz w:val="24"/>
          <w:szCs w:val="24"/>
          <w:lang w:eastAsia="ru-RU"/>
        </w:rPr>
      </w:pPr>
      <w:bookmarkStart w:id="0" w:name="_GoBack"/>
      <w:bookmarkEnd w:id="0"/>
      <w:r w:rsidRPr="00A95FF7">
        <w:rPr>
          <w:rFonts w:eastAsia="Times New Roman" w:cs="Times New Roman"/>
          <w:bCs/>
          <w:color w:val="382E2C"/>
          <w:sz w:val="24"/>
          <w:szCs w:val="24"/>
          <w:lang w:eastAsia="ru-RU"/>
        </w:rPr>
        <w:t>Об утверждении Положения</w:t>
      </w:r>
    </w:p>
    <w:p w:rsidR="000B3081" w:rsidRPr="00A95FF7" w:rsidRDefault="000B3081" w:rsidP="000B3081">
      <w:pPr>
        <w:rPr>
          <w:rFonts w:eastAsia="Times New Roman" w:cs="Times New Roman"/>
          <w:color w:val="382E2C"/>
          <w:sz w:val="24"/>
          <w:szCs w:val="24"/>
          <w:lang w:eastAsia="ru-RU"/>
        </w:rPr>
      </w:pPr>
      <w:r w:rsidRPr="00A95FF7">
        <w:rPr>
          <w:rFonts w:eastAsia="Times New Roman" w:cs="Times New Roman"/>
          <w:bCs/>
          <w:color w:val="382E2C"/>
          <w:sz w:val="24"/>
          <w:szCs w:val="24"/>
          <w:lang w:eastAsia="ru-RU"/>
        </w:rPr>
        <w:t xml:space="preserve">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w:t>
      </w:r>
      <w:proofErr w:type="gramStart"/>
      <w:r w:rsidRPr="00A95FF7">
        <w:rPr>
          <w:rFonts w:eastAsia="Times New Roman" w:cs="Times New Roman"/>
          <w:bCs/>
          <w:color w:val="382E2C"/>
          <w:sz w:val="24"/>
          <w:szCs w:val="24"/>
          <w:lang w:eastAsia="ru-RU"/>
        </w:rPr>
        <w:t>порядке</w:t>
      </w:r>
      <w:proofErr w:type="gramEnd"/>
      <w:r w:rsidRPr="00A95FF7">
        <w:rPr>
          <w:rFonts w:eastAsia="Times New Roman" w:cs="Times New Roman"/>
          <w:bCs/>
          <w:color w:val="382E2C"/>
          <w:sz w:val="24"/>
          <w:szCs w:val="24"/>
          <w:lang w:eastAsia="ru-RU"/>
        </w:rPr>
        <w:t xml:space="preserve"> и условиях предоставления в аренду включенного в данный перечень имущества</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В соответствии с Федеральными законами от 24.07.2007 № 209-ФЗ «О развитии малого и среднего предпринимательства в Российской Федерации»,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w:t>
      </w:r>
      <w:r w:rsidR="00BD6743" w:rsidRP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 xml:space="preserve">ского сельского поселения </w:t>
      </w:r>
      <w:r w:rsidR="00BD6743" w:rsidRPr="000654C5">
        <w:rPr>
          <w:rFonts w:eastAsia="Times New Roman" w:cs="Times New Roman"/>
          <w:color w:val="382E2C"/>
          <w:sz w:val="24"/>
          <w:szCs w:val="24"/>
          <w:lang w:eastAsia="ru-RU"/>
        </w:rPr>
        <w:t>Брянского</w:t>
      </w:r>
      <w:r w:rsidRPr="000654C5">
        <w:rPr>
          <w:rFonts w:eastAsia="Times New Roman" w:cs="Times New Roman"/>
          <w:color w:val="382E2C"/>
          <w:sz w:val="24"/>
          <w:szCs w:val="24"/>
          <w:lang w:eastAsia="ru-RU"/>
        </w:rPr>
        <w:t xml:space="preserve"> муниципального района </w:t>
      </w:r>
      <w:r w:rsidR="00BD6743" w:rsidRP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 xml:space="preserve">ской области Совет </w:t>
      </w:r>
      <w:proofErr w:type="gramStart"/>
      <w:r w:rsidRPr="000654C5">
        <w:rPr>
          <w:rFonts w:eastAsia="Times New Roman" w:cs="Times New Roman"/>
          <w:color w:val="382E2C"/>
          <w:sz w:val="24"/>
          <w:szCs w:val="24"/>
          <w:lang w:eastAsia="ru-RU"/>
        </w:rPr>
        <w:t>народных</w:t>
      </w:r>
      <w:proofErr w:type="gramEnd"/>
      <w:r w:rsidRPr="000654C5">
        <w:rPr>
          <w:rFonts w:eastAsia="Times New Roman" w:cs="Times New Roman"/>
          <w:color w:val="382E2C"/>
          <w:sz w:val="24"/>
          <w:szCs w:val="24"/>
          <w:lang w:eastAsia="ru-RU"/>
        </w:rPr>
        <w:t xml:space="preserve"> депутатов </w:t>
      </w:r>
      <w:r w:rsidR="00BD6743" w:rsidRP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 xml:space="preserve">ского сельского поселения </w:t>
      </w:r>
      <w:r w:rsidR="00BD6743" w:rsidRPr="000654C5">
        <w:rPr>
          <w:rFonts w:eastAsia="Times New Roman" w:cs="Times New Roman"/>
          <w:color w:val="382E2C"/>
          <w:sz w:val="24"/>
          <w:szCs w:val="24"/>
          <w:lang w:eastAsia="ru-RU"/>
        </w:rPr>
        <w:t>Брянского</w:t>
      </w:r>
      <w:r w:rsidRPr="000654C5">
        <w:rPr>
          <w:rFonts w:eastAsia="Times New Roman" w:cs="Times New Roman"/>
          <w:color w:val="382E2C"/>
          <w:sz w:val="24"/>
          <w:szCs w:val="24"/>
          <w:lang w:eastAsia="ru-RU"/>
        </w:rPr>
        <w:t xml:space="preserve"> муниципального района </w:t>
      </w:r>
      <w:r w:rsidR="00BD6743" w:rsidRP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ской области </w:t>
      </w:r>
      <w:r w:rsidR="004B2A19">
        <w:rPr>
          <w:rFonts w:eastAsia="Times New Roman" w:cs="Times New Roman"/>
          <w:b/>
          <w:bCs/>
          <w:color w:val="382E2C"/>
          <w:sz w:val="24"/>
          <w:szCs w:val="24"/>
          <w:lang w:eastAsia="ru-RU"/>
        </w:rPr>
        <w:t>РЕШИЛ</w:t>
      </w:r>
      <w:r w:rsidRPr="000654C5">
        <w:rPr>
          <w:rFonts w:eastAsia="Times New Roman" w:cs="Times New Roman"/>
          <w:b/>
          <w:bCs/>
          <w:color w:val="382E2C"/>
          <w:sz w:val="24"/>
          <w:szCs w:val="24"/>
          <w:lang w:eastAsia="ru-RU"/>
        </w:rPr>
        <w:t>:</w:t>
      </w:r>
    </w:p>
    <w:p w:rsidR="000B3081" w:rsidRPr="000654C5" w:rsidRDefault="000B3081" w:rsidP="000B3081">
      <w:pPr>
        <w:numPr>
          <w:ilvl w:val="0"/>
          <w:numId w:val="1"/>
        </w:numPr>
        <w:ind w:left="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Утвердить 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w:t>
      </w:r>
      <w:proofErr w:type="gramStart"/>
      <w:r w:rsidRPr="000654C5">
        <w:rPr>
          <w:rFonts w:eastAsia="Times New Roman" w:cs="Times New Roman"/>
          <w:color w:val="382E2C"/>
          <w:sz w:val="24"/>
          <w:szCs w:val="24"/>
          <w:lang w:eastAsia="ru-RU"/>
        </w:rPr>
        <w:t>порядк</w:t>
      </w:r>
      <w:r w:rsidR="004B2A19">
        <w:rPr>
          <w:rFonts w:eastAsia="Times New Roman" w:cs="Times New Roman"/>
          <w:color w:val="382E2C"/>
          <w:sz w:val="24"/>
          <w:szCs w:val="24"/>
          <w:lang w:eastAsia="ru-RU"/>
        </w:rPr>
        <w:t>е</w:t>
      </w:r>
      <w:proofErr w:type="gramEnd"/>
      <w:r w:rsidRPr="000654C5">
        <w:rPr>
          <w:rFonts w:eastAsia="Times New Roman" w:cs="Times New Roman"/>
          <w:color w:val="382E2C"/>
          <w:sz w:val="24"/>
          <w:szCs w:val="24"/>
          <w:lang w:eastAsia="ru-RU"/>
        </w:rPr>
        <w:t xml:space="preserve"> и условиях предоставления в аренду включенного в данный перечень имущества согласно Приложению.</w:t>
      </w:r>
    </w:p>
    <w:p w:rsidR="000B3081" w:rsidRPr="000654C5" w:rsidRDefault="000B3081" w:rsidP="000B3081">
      <w:pPr>
        <w:numPr>
          <w:ilvl w:val="0"/>
          <w:numId w:val="1"/>
        </w:numPr>
        <w:ind w:left="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Признать утратившими силу решения Совета народных депутатов </w:t>
      </w:r>
      <w:r w:rsidR="00BD6743" w:rsidRP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 xml:space="preserve">ского сельского поселения </w:t>
      </w:r>
      <w:r w:rsidR="00BD6743" w:rsidRPr="000654C5">
        <w:rPr>
          <w:rFonts w:eastAsia="Times New Roman" w:cs="Times New Roman"/>
          <w:color w:val="382E2C"/>
          <w:sz w:val="24"/>
          <w:szCs w:val="24"/>
          <w:lang w:eastAsia="ru-RU"/>
        </w:rPr>
        <w:t>Бря</w:t>
      </w:r>
      <w:r w:rsidRPr="000654C5">
        <w:rPr>
          <w:rFonts w:eastAsia="Times New Roman" w:cs="Times New Roman"/>
          <w:color w:val="382E2C"/>
          <w:sz w:val="24"/>
          <w:szCs w:val="24"/>
          <w:lang w:eastAsia="ru-RU"/>
        </w:rPr>
        <w:t xml:space="preserve">нского муниципального района </w:t>
      </w:r>
      <w:r w:rsidR="00BD6743" w:rsidRP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ской области:</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от 1</w:t>
      </w:r>
      <w:r w:rsidR="00BD6743" w:rsidRPr="000654C5">
        <w:rPr>
          <w:rFonts w:eastAsia="Times New Roman" w:cs="Times New Roman"/>
          <w:color w:val="382E2C"/>
          <w:sz w:val="24"/>
          <w:szCs w:val="24"/>
          <w:lang w:eastAsia="ru-RU"/>
        </w:rPr>
        <w:t>4</w:t>
      </w:r>
      <w:r w:rsidRPr="000654C5">
        <w:rPr>
          <w:rFonts w:eastAsia="Times New Roman" w:cs="Times New Roman"/>
          <w:color w:val="382E2C"/>
          <w:sz w:val="24"/>
          <w:szCs w:val="24"/>
          <w:lang w:eastAsia="ru-RU"/>
        </w:rPr>
        <w:t>.0</w:t>
      </w:r>
      <w:r w:rsidR="00BD6743" w:rsidRPr="000654C5">
        <w:rPr>
          <w:rFonts w:eastAsia="Times New Roman" w:cs="Times New Roman"/>
          <w:color w:val="382E2C"/>
          <w:sz w:val="24"/>
          <w:szCs w:val="24"/>
          <w:lang w:eastAsia="ru-RU"/>
        </w:rPr>
        <w:t>8</w:t>
      </w:r>
      <w:r w:rsidRPr="000654C5">
        <w:rPr>
          <w:rFonts w:eastAsia="Times New Roman" w:cs="Times New Roman"/>
          <w:color w:val="382E2C"/>
          <w:sz w:val="24"/>
          <w:szCs w:val="24"/>
          <w:lang w:eastAsia="ru-RU"/>
        </w:rPr>
        <w:t xml:space="preserve">.2016 № </w:t>
      </w:r>
      <w:r w:rsidR="00BD6743" w:rsidRPr="000654C5">
        <w:rPr>
          <w:rFonts w:eastAsia="Times New Roman" w:cs="Times New Roman"/>
          <w:color w:val="382E2C"/>
          <w:sz w:val="24"/>
          <w:szCs w:val="24"/>
          <w:lang w:eastAsia="ru-RU"/>
        </w:rPr>
        <w:t>26/1</w:t>
      </w:r>
      <w:r w:rsidRPr="000654C5">
        <w:rPr>
          <w:rFonts w:eastAsia="Times New Roman" w:cs="Times New Roman"/>
          <w:color w:val="382E2C"/>
          <w:sz w:val="24"/>
          <w:szCs w:val="24"/>
          <w:lang w:eastAsia="ru-RU"/>
        </w:rPr>
        <w:t xml:space="preserve">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0654C5">
        <w:rPr>
          <w:rFonts w:eastAsia="Times New Roman" w:cs="Times New Roman"/>
          <w:color w:val="382E2C"/>
          <w:sz w:val="24"/>
          <w:szCs w:val="24"/>
          <w:lang w:eastAsia="ru-RU"/>
        </w:rPr>
        <w:lastRenderedPageBreak/>
        <w:t>предпринимательства, а также порядке и условиях предоставления в аренду включенного в данный перечень имущества»;</w:t>
      </w:r>
    </w:p>
    <w:p w:rsidR="000B3081" w:rsidRPr="000654C5" w:rsidRDefault="000B3081" w:rsidP="000B3081">
      <w:pPr>
        <w:numPr>
          <w:ilvl w:val="0"/>
          <w:numId w:val="2"/>
        </w:numPr>
        <w:ind w:left="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Обнародовать настоящее решение в соответствии с Уставом </w:t>
      </w:r>
      <w:r w:rsidR="00BD6743" w:rsidRP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 xml:space="preserve">ского сельского поселения </w:t>
      </w:r>
      <w:r w:rsidR="000654C5" w:rsidRPr="000654C5">
        <w:rPr>
          <w:rFonts w:eastAsia="Times New Roman" w:cs="Times New Roman"/>
          <w:color w:val="382E2C"/>
          <w:sz w:val="24"/>
          <w:szCs w:val="24"/>
          <w:lang w:eastAsia="ru-RU"/>
        </w:rPr>
        <w:t>Бря</w:t>
      </w:r>
      <w:r w:rsidRPr="000654C5">
        <w:rPr>
          <w:rFonts w:eastAsia="Times New Roman" w:cs="Times New Roman"/>
          <w:color w:val="382E2C"/>
          <w:sz w:val="24"/>
          <w:szCs w:val="24"/>
          <w:lang w:eastAsia="ru-RU"/>
        </w:rPr>
        <w:t xml:space="preserve">нского муниципального района </w:t>
      </w:r>
      <w:r w:rsidR="000654C5" w:rsidRP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ской области.</w:t>
      </w:r>
    </w:p>
    <w:p w:rsidR="000B3081" w:rsidRPr="000654C5" w:rsidRDefault="000B3081" w:rsidP="000B3081">
      <w:pPr>
        <w:numPr>
          <w:ilvl w:val="0"/>
          <w:numId w:val="2"/>
        </w:numPr>
        <w:ind w:left="300"/>
        <w:rPr>
          <w:rFonts w:eastAsia="Times New Roman" w:cs="Times New Roman"/>
          <w:color w:val="382E2C"/>
          <w:sz w:val="24"/>
          <w:szCs w:val="24"/>
          <w:lang w:eastAsia="ru-RU"/>
        </w:rPr>
      </w:pPr>
      <w:r w:rsidRPr="000654C5">
        <w:rPr>
          <w:rFonts w:eastAsia="Times New Roman" w:cs="Times New Roman"/>
          <w:color w:val="382E2C"/>
          <w:sz w:val="24"/>
          <w:szCs w:val="24"/>
          <w:lang w:eastAsia="ru-RU"/>
        </w:rPr>
        <w:t>Контроль исполнения настоящего решения оставляю за собой.</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Глава Супоневского</w:t>
      </w:r>
    </w:p>
    <w:p w:rsidR="000B3081" w:rsidRPr="000654C5" w:rsidRDefault="000654C5"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сельского  поселения                                                       Л.В. Пиганова</w:t>
      </w:r>
      <w:r w:rsidR="000B3081" w:rsidRPr="000654C5">
        <w:rPr>
          <w:rFonts w:eastAsia="Times New Roman" w:cs="Times New Roman"/>
          <w:color w:val="382E2C"/>
          <w:sz w:val="24"/>
          <w:szCs w:val="24"/>
          <w:lang w:eastAsia="ru-RU"/>
        </w:rPr>
        <w:t> </w:t>
      </w: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Pr="000654C5" w:rsidRDefault="000654C5" w:rsidP="000B3081">
      <w:pPr>
        <w:spacing w:after="300"/>
        <w:rPr>
          <w:rFonts w:eastAsia="Times New Roman" w:cs="Times New Roman"/>
          <w:color w:val="382E2C"/>
          <w:sz w:val="24"/>
          <w:szCs w:val="24"/>
          <w:lang w:eastAsia="ru-RU"/>
        </w:rPr>
      </w:pPr>
    </w:p>
    <w:p w:rsidR="000654C5" w:rsidRDefault="000654C5" w:rsidP="000654C5">
      <w:pPr>
        <w:spacing w:after="300"/>
        <w:jc w:val="right"/>
        <w:rPr>
          <w:rFonts w:eastAsia="Times New Roman" w:cs="Times New Roman"/>
          <w:color w:val="382E2C"/>
          <w:sz w:val="24"/>
          <w:szCs w:val="24"/>
          <w:lang w:eastAsia="ru-RU"/>
        </w:rPr>
      </w:pPr>
    </w:p>
    <w:p w:rsidR="000B3081" w:rsidRPr="000654C5" w:rsidRDefault="000B3081"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lastRenderedPageBreak/>
        <w:t>Приложение</w:t>
      </w:r>
      <w:r w:rsidR="000654C5">
        <w:rPr>
          <w:rFonts w:eastAsia="Times New Roman" w:cs="Times New Roman"/>
          <w:color w:val="382E2C"/>
          <w:sz w:val="24"/>
          <w:szCs w:val="24"/>
          <w:lang w:eastAsia="ru-RU"/>
        </w:rPr>
        <w:t xml:space="preserve"> №1</w:t>
      </w:r>
    </w:p>
    <w:p w:rsidR="000654C5" w:rsidRDefault="000B3081"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t>к решению Совета народных депутатов</w:t>
      </w:r>
    </w:p>
    <w:p w:rsidR="000654C5" w:rsidRDefault="000B3081"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 </w:t>
      </w:r>
      <w:r w:rsidR="000654C5" w:rsidRP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ского сельского</w:t>
      </w:r>
      <w:r w:rsidR="000654C5">
        <w:rPr>
          <w:rFonts w:eastAsia="Times New Roman" w:cs="Times New Roman"/>
          <w:color w:val="382E2C"/>
          <w:sz w:val="24"/>
          <w:szCs w:val="24"/>
          <w:lang w:eastAsia="ru-RU"/>
        </w:rPr>
        <w:t xml:space="preserve"> </w:t>
      </w:r>
      <w:r w:rsidRPr="000654C5">
        <w:rPr>
          <w:rFonts w:eastAsia="Times New Roman" w:cs="Times New Roman"/>
          <w:color w:val="382E2C"/>
          <w:sz w:val="24"/>
          <w:szCs w:val="24"/>
          <w:lang w:eastAsia="ru-RU"/>
        </w:rPr>
        <w:t xml:space="preserve">поселения </w:t>
      </w:r>
    </w:p>
    <w:p w:rsidR="000654C5" w:rsidRDefault="000654C5"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t>Брянск</w:t>
      </w:r>
      <w:r w:rsidR="000B3081" w:rsidRPr="000654C5">
        <w:rPr>
          <w:rFonts w:eastAsia="Times New Roman" w:cs="Times New Roman"/>
          <w:color w:val="382E2C"/>
          <w:sz w:val="24"/>
          <w:szCs w:val="24"/>
          <w:lang w:eastAsia="ru-RU"/>
        </w:rPr>
        <w:t>ого муниципального</w:t>
      </w:r>
      <w:r>
        <w:rPr>
          <w:rFonts w:eastAsia="Times New Roman" w:cs="Times New Roman"/>
          <w:color w:val="382E2C"/>
          <w:sz w:val="24"/>
          <w:szCs w:val="24"/>
          <w:lang w:eastAsia="ru-RU"/>
        </w:rPr>
        <w:t xml:space="preserve"> </w:t>
      </w:r>
      <w:r w:rsidR="000B3081" w:rsidRPr="000654C5">
        <w:rPr>
          <w:rFonts w:eastAsia="Times New Roman" w:cs="Times New Roman"/>
          <w:color w:val="382E2C"/>
          <w:sz w:val="24"/>
          <w:szCs w:val="24"/>
          <w:lang w:eastAsia="ru-RU"/>
        </w:rPr>
        <w:t xml:space="preserve"> района </w:t>
      </w:r>
    </w:p>
    <w:p w:rsidR="000B3081" w:rsidRPr="000654C5" w:rsidRDefault="000654C5"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t>Брян</w:t>
      </w:r>
      <w:r w:rsidR="000B3081" w:rsidRPr="000654C5">
        <w:rPr>
          <w:rFonts w:eastAsia="Times New Roman" w:cs="Times New Roman"/>
          <w:color w:val="382E2C"/>
          <w:sz w:val="24"/>
          <w:szCs w:val="24"/>
          <w:lang w:eastAsia="ru-RU"/>
        </w:rPr>
        <w:t>ской области</w:t>
      </w:r>
    </w:p>
    <w:p w:rsidR="000B3081" w:rsidRPr="000654C5" w:rsidRDefault="000B3081" w:rsidP="000654C5">
      <w:pPr>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от </w:t>
      </w:r>
      <w:r w:rsidR="00A95FF7">
        <w:rPr>
          <w:rFonts w:eastAsia="Times New Roman" w:cs="Times New Roman"/>
          <w:color w:val="382E2C"/>
          <w:sz w:val="24"/>
          <w:szCs w:val="24"/>
          <w:lang w:eastAsia="ru-RU"/>
        </w:rPr>
        <w:t>1</w:t>
      </w:r>
      <w:r w:rsidR="000654C5" w:rsidRPr="000654C5">
        <w:rPr>
          <w:rFonts w:eastAsia="Times New Roman" w:cs="Times New Roman"/>
          <w:color w:val="382E2C"/>
          <w:sz w:val="24"/>
          <w:szCs w:val="24"/>
          <w:lang w:eastAsia="ru-RU"/>
        </w:rPr>
        <w:t>0</w:t>
      </w:r>
      <w:r w:rsidRPr="000654C5">
        <w:rPr>
          <w:rFonts w:eastAsia="Times New Roman" w:cs="Times New Roman"/>
          <w:color w:val="382E2C"/>
          <w:sz w:val="24"/>
          <w:szCs w:val="24"/>
          <w:lang w:eastAsia="ru-RU"/>
        </w:rPr>
        <w:t>.0</w:t>
      </w:r>
      <w:r w:rsidR="00A95FF7">
        <w:rPr>
          <w:rFonts w:eastAsia="Times New Roman" w:cs="Times New Roman"/>
          <w:color w:val="382E2C"/>
          <w:sz w:val="24"/>
          <w:szCs w:val="24"/>
          <w:lang w:eastAsia="ru-RU"/>
        </w:rPr>
        <w:t>8</w:t>
      </w:r>
      <w:r w:rsidRPr="000654C5">
        <w:rPr>
          <w:rFonts w:eastAsia="Times New Roman" w:cs="Times New Roman"/>
          <w:color w:val="382E2C"/>
          <w:sz w:val="24"/>
          <w:szCs w:val="24"/>
          <w:lang w:eastAsia="ru-RU"/>
        </w:rPr>
        <w:t xml:space="preserve">.2021 № </w:t>
      </w:r>
      <w:r w:rsidR="00A95FF7">
        <w:rPr>
          <w:rFonts w:eastAsia="Times New Roman" w:cs="Times New Roman"/>
          <w:color w:val="382E2C"/>
          <w:sz w:val="24"/>
          <w:szCs w:val="24"/>
          <w:lang w:eastAsia="ru-RU"/>
        </w:rPr>
        <w:t>4-21-3</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654C5">
      <w:pPr>
        <w:jc w:val="cente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ПОЛОЖЕНИЕ</w:t>
      </w:r>
    </w:p>
    <w:p w:rsidR="000B3081" w:rsidRPr="000654C5" w:rsidRDefault="000B3081" w:rsidP="000654C5">
      <w:pPr>
        <w:jc w:val="cente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xml:space="preserve">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а также </w:t>
      </w:r>
      <w:proofErr w:type="gramStart"/>
      <w:r w:rsidRPr="000654C5">
        <w:rPr>
          <w:rFonts w:eastAsia="Times New Roman" w:cs="Times New Roman"/>
          <w:b/>
          <w:bCs/>
          <w:color w:val="382E2C"/>
          <w:sz w:val="24"/>
          <w:szCs w:val="24"/>
          <w:lang w:eastAsia="ru-RU"/>
        </w:rPr>
        <w:t>порядке</w:t>
      </w:r>
      <w:proofErr w:type="gramEnd"/>
      <w:r w:rsidRPr="000654C5">
        <w:rPr>
          <w:rFonts w:eastAsia="Times New Roman" w:cs="Times New Roman"/>
          <w:b/>
          <w:bCs/>
          <w:color w:val="382E2C"/>
          <w:sz w:val="24"/>
          <w:szCs w:val="24"/>
          <w:lang w:eastAsia="ru-RU"/>
        </w:rPr>
        <w:t xml:space="preserve"> и условиях предоставления в аренду включенного в данный перечень имущества</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w:t>
      </w:r>
    </w:p>
    <w:p w:rsidR="000B3081" w:rsidRPr="000654C5" w:rsidRDefault="000B3081" w:rsidP="000B3081">
      <w:pPr>
        <w:numPr>
          <w:ilvl w:val="0"/>
          <w:numId w:val="3"/>
        </w:numPr>
        <w:ind w:left="300"/>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Общие положения</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1.1. Настоящее Положение устанавливает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 организаций, образующих инфраструктуру поддержки субъектов малого и среднего предпринимательства (далее — Перечень), а также порядок и условия предоставления в аренду включенного в Перечень имущества на территории </w:t>
      </w:r>
      <w:r w:rsidR="000654C5">
        <w:rPr>
          <w:rFonts w:eastAsia="Times New Roman" w:cs="Times New Roman"/>
          <w:color w:val="382E2C"/>
          <w:sz w:val="24"/>
          <w:szCs w:val="24"/>
          <w:lang w:eastAsia="ru-RU"/>
        </w:rPr>
        <w:t>Супонев</w:t>
      </w:r>
      <w:r w:rsidRPr="000654C5">
        <w:rPr>
          <w:rFonts w:eastAsia="Times New Roman" w:cs="Times New Roman"/>
          <w:color w:val="382E2C"/>
          <w:sz w:val="24"/>
          <w:szCs w:val="24"/>
          <w:lang w:eastAsia="ru-RU"/>
        </w:rPr>
        <w:t xml:space="preserve">ского сельского поселения </w:t>
      </w:r>
      <w:r w:rsid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 xml:space="preserve">ского муниципального района </w:t>
      </w:r>
      <w:r w:rsidR="000654C5">
        <w:rPr>
          <w:rFonts w:eastAsia="Times New Roman" w:cs="Times New Roman"/>
          <w:color w:val="382E2C"/>
          <w:sz w:val="24"/>
          <w:szCs w:val="24"/>
          <w:lang w:eastAsia="ru-RU"/>
        </w:rPr>
        <w:t>Брян</w:t>
      </w:r>
      <w:r w:rsidRPr="000654C5">
        <w:rPr>
          <w:rFonts w:eastAsia="Times New Roman" w:cs="Times New Roman"/>
          <w:color w:val="382E2C"/>
          <w:sz w:val="24"/>
          <w:szCs w:val="24"/>
          <w:lang w:eastAsia="ru-RU"/>
        </w:rPr>
        <w:t>ской области (далее – сельское поселение).</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1.2. Муниципальное имущество, включенное в Перечень:</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1) подлежит передаче во владение и (или) в пользование исключительно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для использования по целевому назначению, отраженному в договорах;</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2) должно быть свободным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1.3. Муниципальное имущество, включенное в Перечень, не подлежит отчуждению в частную собственность, в том числе в собственность субъектов малого и среднего </w:t>
      </w:r>
      <w:r w:rsidRPr="000654C5">
        <w:rPr>
          <w:rFonts w:eastAsia="Times New Roman" w:cs="Times New Roman"/>
          <w:color w:val="382E2C"/>
          <w:sz w:val="24"/>
          <w:szCs w:val="24"/>
          <w:lang w:eastAsia="ru-RU"/>
        </w:rPr>
        <w:lastRenderedPageBreak/>
        <w:t>предпринимательства, физических лиц, применяющих специальный налоговый режим, и организаций, образующих инфраструктуру поддержки субъектов малого и среднего предпринимательства, арендующих это имущество, за исключением случая, предусмотренного частью 2.1 статьи 9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Права пользования имуществом, включенным в Перечень, не могут быть переуступлены, переданы в залог, внесены в уставный капитал любых других субъектов хозяйственной деятельности. Также указанное имущество не может быть передано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передается имущество, предусмотренное пунктом 14 части 1 статьи 17.1 Федерального закона от 26.07.2006 № 135-ФЗ «О защите конкуренции».</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B3081">
      <w:pPr>
        <w:numPr>
          <w:ilvl w:val="0"/>
          <w:numId w:val="4"/>
        </w:numPr>
        <w:ind w:left="300"/>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Порядок формирования и ведения Перечня</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2.1. Формирование и ведение Перечня осуществляется администрацией сельского поселения. Утверждение Перечня, включение (исключение) из него объектов муниципального имущества происходит на основании постановления администрации сельского поселения.</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2.2. Перечень формируется и ведется в виде информационной базы данных в электронном виде и на бумажном носителе по форме согласно приложению к настоящему Положению.</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В Перечень включаются </w:t>
      </w:r>
      <w:r w:rsidR="00B06117" w:rsidRPr="000654C5">
        <w:rPr>
          <w:rFonts w:eastAsia="Times New Roman" w:cs="Times New Roman"/>
          <w:color w:val="382E2C"/>
          <w:sz w:val="24"/>
          <w:szCs w:val="24"/>
          <w:lang w:eastAsia="ru-RU"/>
        </w:rPr>
        <w:t>объекты</w:t>
      </w:r>
      <w:r w:rsidRPr="000654C5">
        <w:rPr>
          <w:rFonts w:eastAsia="Times New Roman" w:cs="Times New Roman"/>
          <w:color w:val="382E2C"/>
          <w:sz w:val="24"/>
          <w:szCs w:val="24"/>
          <w:lang w:eastAsia="ru-RU"/>
        </w:rPr>
        <w:t>,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указанные в части 1 статьи 18 Федерального закона от 24.07.2007 №209 – ФЗ «О развитии малого и среднего предпринимательства в Российской Федерации», которые находятся в собственности сельского поселения, муниципальных унитарных предприятий и муниципальных учреждений сельского поселения. 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муниципальными унитарными предприятиями, на праве оперативного управления за муниципальными учреждениями по предложению указанных предприятий или учреждений и с согласия администрации сельского поселения.</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Сведения, содержащиеся в Перечне, являются открытыми и общедоступными.</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2.3. Ведение Перечня осуществляется в соответствии со следующими принципами:</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непрерывность внесения в Перечень изменяющихся сведений об объектах;</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открытость сведений, содержащихся в Перечне имущества;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сопоставимость и совместимость сведений, содержащихся в Перечне, со сведениями, содержащимися в иных информационных ресурсах.</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lastRenderedPageBreak/>
        <w:t>2.4. Ежегодно, до 1 ноября текущего года, Перечень подлежит уточнению в случае необходимости исключения объектов либо включения новых объектов, изменения сведений о содержащихся в Перечне объектах имущества.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Объекты могут быть исключены из Перечня в случаях:</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 </w:t>
      </w:r>
      <w:r w:rsidR="000654C5" w:rsidRPr="000654C5">
        <w:rPr>
          <w:rFonts w:eastAsia="Times New Roman" w:cs="Times New Roman"/>
          <w:color w:val="382E2C"/>
          <w:sz w:val="24"/>
          <w:szCs w:val="24"/>
          <w:lang w:eastAsia="ru-RU"/>
        </w:rPr>
        <w:t>не востребованности</w:t>
      </w:r>
      <w:r w:rsidRPr="000654C5">
        <w:rPr>
          <w:rFonts w:eastAsia="Times New Roman" w:cs="Times New Roman"/>
          <w:color w:val="382E2C"/>
          <w:sz w:val="24"/>
          <w:szCs w:val="24"/>
          <w:lang w:eastAsia="ru-RU"/>
        </w:rPr>
        <w:t xml:space="preserve"> объектов для указанных в настоящем Положении целей;</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 прекращения права муниципальной собственности на </w:t>
      </w:r>
      <w:r w:rsidR="000654C5" w:rsidRPr="000654C5">
        <w:rPr>
          <w:rFonts w:eastAsia="Times New Roman" w:cs="Times New Roman"/>
          <w:color w:val="382E2C"/>
          <w:sz w:val="24"/>
          <w:szCs w:val="24"/>
          <w:lang w:eastAsia="ru-RU"/>
        </w:rPr>
        <w:t>объект</w:t>
      </w:r>
      <w:r w:rsidRPr="000654C5">
        <w:rPr>
          <w:rFonts w:eastAsia="Times New Roman" w:cs="Times New Roman"/>
          <w:color w:val="382E2C"/>
          <w:sz w:val="24"/>
          <w:szCs w:val="24"/>
          <w:lang w:eastAsia="ru-RU"/>
        </w:rPr>
        <w:t>;</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необходимости использования имущества для муниципальных или государственных нужд.</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xml:space="preserve">2.5. </w:t>
      </w:r>
      <w:r w:rsidR="000654C5">
        <w:rPr>
          <w:rFonts w:eastAsia="Times New Roman" w:cs="Times New Roman"/>
          <w:color w:val="382E2C"/>
          <w:sz w:val="24"/>
          <w:szCs w:val="24"/>
          <w:lang w:eastAsia="ru-RU"/>
        </w:rPr>
        <w:t>Супоневская сельская администрация</w:t>
      </w:r>
      <w:r w:rsidRPr="000654C5">
        <w:rPr>
          <w:rFonts w:eastAsia="Times New Roman" w:cs="Times New Roman"/>
          <w:color w:val="382E2C"/>
          <w:sz w:val="24"/>
          <w:szCs w:val="24"/>
          <w:lang w:eastAsia="ru-RU"/>
        </w:rPr>
        <w:t xml:space="preserve"> в течение десяти дней </w:t>
      </w:r>
      <w:proofErr w:type="gramStart"/>
      <w:r w:rsidRPr="000654C5">
        <w:rPr>
          <w:rFonts w:eastAsia="Times New Roman" w:cs="Times New Roman"/>
          <w:color w:val="382E2C"/>
          <w:sz w:val="24"/>
          <w:szCs w:val="24"/>
          <w:lang w:eastAsia="ru-RU"/>
        </w:rPr>
        <w:t>с даты принятия</w:t>
      </w:r>
      <w:proofErr w:type="gramEnd"/>
      <w:r w:rsidRPr="000654C5">
        <w:rPr>
          <w:rFonts w:eastAsia="Times New Roman" w:cs="Times New Roman"/>
          <w:color w:val="382E2C"/>
          <w:sz w:val="24"/>
          <w:szCs w:val="24"/>
          <w:lang w:eastAsia="ru-RU"/>
        </w:rPr>
        <w:t xml:space="preserve"> постановления об утверждения Перечня или внесения в него изменений обеспечивает опубликование Перечня и размещение на официальном сайте </w:t>
      </w:r>
      <w:r w:rsidR="000654C5">
        <w:rPr>
          <w:rFonts w:eastAsia="Times New Roman" w:cs="Times New Roman"/>
          <w:color w:val="382E2C"/>
          <w:sz w:val="24"/>
          <w:szCs w:val="24"/>
          <w:lang w:eastAsia="ru-RU"/>
        </w:rPr>
        <w:t xml:space="preserve">Супоневской </w:t>
      </w:r>
      <w:r w:rsidRPr="000654C5">
        <w:rPr>
          <w:rFonts w:eastAsia="Times New Roman" w:cs="Times New Roman"/>
          <w:color w:val="382E2C"/>
          <w:sz w:val="24"/>
          <w:szCs w:val="24"/>
          <w:lang w:eastAsia="ru-RU"/>
        </w:rPr>
        <w:t xml:space="preserve">администрации </w:t>
      </w:r>
      <w:r w:rsidR="000654C5">
        <w:rPr>
          <w:rFonts w:eastAsia="Times New Roman" w:cs="Times New Roman"/>
          <w:color w:val="382E2C"/>
          <w:sz w:val="24"/>
          <w:szCs w:val="24"/>
          <w:lang w:eastAsia="ru-RU"/>
        </w:rPr>
        <w:t xml:space="preserve">Супоневского </w:t>
      </w:r>
      <w:r w:rsidRPr="000654C5">
        <w:rPr>
          <w:rFonts w:eastAsia="Times New Roman" w:cs="Times New Roman"/>
          <w:color w:val="382E2C"/>
          <w:sz w:val="24"/>
          <w:szCs w:val="24"/>
          <w:lang w:eastAsia="ru-RU"/>
        </w:rPr>
        <w:t>сельского поселения в информационно-телекоммуникационной сети «Интернет».</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2.6. Администрация сельского поселения обеспечивает своевременность, достоверность и полноту предоставления сведений об объектах, включенных в Перечень.</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B3081">
      <w:pPr>
        <w:numPr>
          <w:ilvl w:val="0"/>
          <w:numId w:val="5"/>
        </w:numPr>
        <w:ind w:left="300"/>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Порядок и условия предоставления имущества в аренду</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3.1. Предоставление в аренду муниципального имущества, включенного в Перечень, осуществляется посредством проведения торгов (конкурсов, аукционов), а также в ином порядке, предусмотренном действующим законодательством. К участию в торгах не допускаются юридические и физические лица, не относящиеся к категории субъектов малого и среднего предпринимательства и физическим лицам, применяющим специальный налоговый режим. Проведение торгов на право заключения долгосрочного договора аренды муниципального имущества, включенного в Перечень, осуществляется в соответствии с Федеральными законами от 26.07.2006 № 135 — ФЗ «О защите конкуренции», от 22.07.2008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3.2. Имущество, включенное в Перечень, предоставляется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малого и среднего предпринимательства, на срок не менее 5 лет.</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lastRenderedPageBreak/>
        <w:t>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3.3. Размер арендной платы за пользование муниципальным имуществом субъектами малого и среднего предпринимательства, физическими лицами, применяющими специальный налоговый режим,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3.4. Оформление, подписание, государственная регистрация, а также расторжение договора аренды осуществляются в соответствии с действующим законодательством.</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B06117" w:rsidRDefault="00B06117" w:rsidP="000B3081">
      <w:pPr>
        <w:spacing w:after="300"/>
        <w:rPr>
          <w:rFonts w:eastAsia="Times New Roman" w:cs="Times New Roman"/>
          <w:color w:val="382E2C"/>
          <w:sz w:val="24"/>
          <w:szCs w:val="24"/>
          <w:lang w:eastAsia="ru-RU"/>
        </w:rPr>
      </w:pPr>
    </w:p>
    <w:p w:rsidR="000B3081" w:rsidRPr="000654C5" w:rsidRDefault="000B3081" w:rsidP="00B06117">
      <w:pPr>
        <w:spacing w:after="300"/>
        <w:jc w:val="right"/>
        <w:rPr>
          <w:rFonts w:eastAsia="Times New Roman" w:cs="Times New Roman"/>
          <w:color w:val="382E2C"/>
          <w:sz w:val="24"/>
          <w:szCs w:val="24"/>
          <w:lang w:eastAsia="ru-RU"/>
        </w:rPr>
      </w:pPr>
      <w:r w:rsidRPr="000654C5">
        <w:rPr>
          <w:rFonts w:eastAsia="Times New Roman" w:cs="Times New Roman"/>
          <w:color w:val="382E2C"/>
          <w:sz w:val="24"/>
          <w:szCs w:val="24"/>
          <w:lang w:eastAsia="ru-RU"/>
        </w:rPr>
        <w:lastRenderedPageBreak/>
        <w:t>Приложение</w:t>
      </w:r>
      <w:r w:rsidR="0009026C">
        <w:rPr>
          <w:rFonts w:eastAsia="Times New Roman" w:cs="Times New Roman"/>
          <w:color w:val="382E2C"/>
          <w:sz w:val="24"/>
          <w:szCs w:val="24"/>
          <w:lang w:eastAsia="ru-RU"/>
        </w:rPr>
        <w:t>№2</w:t>
      </w:r>
    </w:p>
    <w:p w:rsidR="000B3081" w:rsidRPr="00B06117" w:rsidRDefault="000B3081" w:rsidP="00B06117">
      <w:pPr>
        <w:spacing w:after="300"/>
        <w:jc w:val="right"/>
        <w:rPr>
          <w:rFonts w:eastAsia="Times New Roman" w:cs="Times New Roman"/>
          <w:i/>
          <w:color w:val="382E2C"/>
          <w:sz w:val="24"/>
          <w:szCs w:val="24"/>
          <w:lang w:eastAsia="ru-RU"/>
        </w:rPr>
      </w:pPr>
      <w:proofErr w:type="gramStart"/>
      <w:r w:rsidRPr="00B06117">
        <w:rPr>
          <w:rFonts w:eastAsia="Times New Roman" w:cs="Times New Roman"/>
          <w:i/>
          <w:color w:val="382E2C"/>
          <w:sz w:val="24"/>
          <w:szCs w:val="24"/>
          <w:lang w:eastAsia="ru-RU"/>
        </w:rPr>
        <w:t>к Положению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w:t>
      </w:r>
      <w:proofErr w:type="gramEnd"/>
      <w:r w:rsidRPr="00B06117">
        <w:rPr>
          <w:rFonts w:eastAsia="Times New Roman" w:cs="Times New Roman"/>
          <w:i/>
          <w:color w:val="382E2C"/>
          <w:sz w:val="24"/>
          <w:szCs w:val="24"/>
          <w:lang w:eastAsia="ru-RU"/>
        </w:rPr>
        <w:t xml:space="preserve"> «Налог на профессиональный доход», и организациям, образующим инфраструктуру поддержки субъектов малого и среднего предпринимательства, а также </w:t>
      </w:r>
      <w:proofErr w:type="gramStart"/>
      <w:r w:rsidRPr="00B06117">
        <w:rPr>
          <w:rFonts w:eastAsia="Times New Roman" w:cs="Times New Roman"/>
          <w:i/>
          <w:color w:val="382E2C"/>
          <w:sz w:val="24"/>
          <w:szCs w:val="24"/>
          <w:lang w:eastAsia="ru-RU"/>
        </w:rPr>
        <w:t>порядке</w:t>
      </w:r>
      <w:proofErr w:type="gramEnd"/>
      <w:r w:rsidRPr="00B06117">
        <w:rPr>
          <w:rFonts w:eastAsia="Times New Roman" w:cs="Times New Roman"/>
          <w:i/>
          <w:color w:val="382E2C"/>
          <w:sz w:val="24"/>
          <w:szCs w:val="24"/>
          <w:lang w:eastAsia="ru-RU"/>
        </w:rPr>
        <w:t xml:space="preserve"> и условиях предоставления в аренду включенного в данный перечень имущества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w:t>
      </w:r>
    </w:p>
    <w:p w:rsidR="000B3081" w:rsidRPr="000654C5" w:rsidRDefault="000B3081" w:rsidP="00B06117">
      <w:pPr>
        <w:jc w:val="cente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ПЕРЕЧЕНЬ</w:t>
      </w:r>
    </w:p>
    <w:p w:rsidR="000B3081" w:rsidRPr="000654C5" w:rsidRDefault="000B3081" w:rsidP="000B3081">
      <w:pPr>
        <w:rPr>
          <w:rFonts w:eastAsia="Times New Roman" w:cs="Times New Roman"/>
          <w:color w:val="382E2C"/>
          <w:sz w:val="24"/>
          <w:szCs w:val="24"/>
          <w:lang w:eastAsia="ru-RU"/>
        </w:rPr>
      </w:pPr>
      <w:r w:rsidRPr="000654C5">
        <w:rPr>
          <w:rFonts w:eastAsia="Times New Roman" w:cs="Times New Roman"/>
          <w:b/>
          <w:bCs/>
          <w:color w:val="382E2C"/>
          <w:sz w:val="24"/>
          <w:szCs w:val="24"/>
          <w:lang w:eastAsia="ru-RU"/>
        </w:rPr>
        <w:t xml:space="preserve">муниципального имущества </w:t>
      </w:r>
      <w:r w:rsidR="00B06117">
        <w:rPr>
          <w:rFonts w:eastAsia="Times New Roman" w:cs="Times New Roman"/>
          <w:b/>
          <w:bCs/>
          <w:color w:val="382E2C"/>
          <w:sz w:val="24"/>
          <w:szCs w:val="24"/>
          <w:lang w:eastAsia="ru-RU"/>
        </w:rPr>
        <w:t>Супонев</w:t>
      </w:r>
      <w:r w:rsidRPr="000654C5">
        <w:rPr>
          <w:rFonts w:eastAsia="Times New Roman" w:cs="Times New Roman"/>
          <w:b/>
          <w:bCs/>
          <w:color w:val="382E2C"/>
          <w:sz w:val="24"/>
          <w:szCs w:val="24"/>
          <w:lang w:eastAsia="ru-RU"/>
        </w:rPr>
        <w:t xml:space="preserve">ского сельского поселения </w:t>
      </w:r>
      <w:r w:rsidR="00B06117">
        <w:rPr>
          <w:rFonts w:eastAsia="Times New Roman" w:cs="Times New Roman"/>
          <w:b/>
          <w:bCs/>
          <w:color w:val="382E2C"/>
          <w:sz w:val="24"/>
          <w:szCs w:val="24"/>
          <w:lang w:eastAsia="ru-RU"/>
        </w:rPr>
        <w:t>Бря</w:t>
      </w:r>
      <w:r w:rsidRPr="000654C5">
        <w:rPr>
          <w:rFonts w:eastAsia="Times New Roman" w:cs="Times New Roman"/>
          <w:b/>
          <w:bCs/>
          <w:color w:val="382E2C"/>
          <w:sz w:val="24"/>
          <w:szCs w:val="24"/>
          <w:lang w:eastAsia="ru-RU"/>
        </w:rPr>
        <w:t xml:space="preserve">нского муниципального района </w:t>
      </w:r>
      <w:r w:rsidR="00B06117">
        <w:rPr>
          <w:rFonts w:eastAsia="Times New Roman" w:cs="Times New Roman"/>
          <w:b/>
          <w:bCs/>
          <w:color w:val="382E2C"/>
          <w:sz w:val="24"/>
          <w:szCs w:val="24"/>
          <w:lang w:eastAsia="ru-RU"/>
        </w:rPr>
        <w:t>Брян</w:t>
      </w:r>
      <w:r w:rsidRPr="000654C5">
        <w:rPr>
          <w:rFonts w:eastAsia="Times New Roman" w:cs="Times New Roman"/>
          <w:b/>
          <w:bCs/>
          <w:color w:val="382E2C"/>
          <w:sz w:val="24"/>
          <w:szCs w:val="24"/>
          <w:lang w:eastAsia="ru-RU"/>
        </w:rPr>
        <w:t>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0B3081" w:rsidRPr="000654C5" w:rsidRDefault="000B3081" w:rsidP="000B3081">
      <w:pPr>
        <w:spacing w:after="300"/>
        <w:rPr>
          <w:rFonts w:eastAsia="Times New Roman" w:cs="Times New Roman"/>
          <w:color w:val="382E2C"/>
          <w:sz w:val="24"/>
          <w:szCs w:val="24"/>
          <w:lang w:eastAsia="ru-RU"/>
        </w:rPr>
      </w:pPr>
      <w:r w:rsidRPr="000654C5">
        <w:rPr>
          <w:rFonts w:eastAsia="Times New Roman" w:cs="Times New Roman"/>
          <w:color w:val="382E2C"/>
          <w:sz w:val="24"/>
          <w:szCs w:val="24"/>
          <w:lang w:eastAsia="ru-RU"/>
        </w:rPr>
        <w:t> </w:t>
      </w:r>
    </w:p>
    <w:tbl>
      <w:tblPr>
        <w:tblW w:w="5041" w:type="pct"/>
        <w:tblLayout w:type="fixed"/>
        <w:tblCellMar>
          <w:left w:w="0" w:type="dxa"/>
          <w:right w:w="0" w:type="dxa"/>
        </w:tblCellMar>
        <w:tblLook w:val="04A0" w:firstRow="1" w:lastRow="0" w:firstColumn="1" w:lastColumn="0" w:noHBand="0" w:noVBand="1"/>
      </w:tblPr>
      <w:tblGrid>
        <w:gridCol w:w="534"/>
        <w:gridCol w:w="1312"/>
        <w:gridCol w:w="1137"/>
        <w:gridCol w:w="709"/>
        <w:gridCol w:w="851"/>
        <w:gridCol w:w="993"/>
        <w:gridCol w:w="993"/>
        <w:gridCol w:w="851"/>
        <w:gridCol w:w="1332"/>
        <w:gridCol w:w="516"/>
        <w:gridCol w:w="506"/>
      </w:tblGrid>
      <w:tr w:rsidR="007C2274" w:rsidRPr="0009026C" w:rsidTr="007C2274">
        <w:trPr>
          <w:trHeight w:val="1314"/>
        </w:trPr>
        <w:tc>
          <w:tcPr>
            <w:tcW w:w="274"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 xml:space="preserve">№ </w:t>
            </w:r>
            <w:proofErr w:type="gramStart"/>
            <w:r w:rsidRPr="0009026C">
              <w:rPr>
                <w:rFonts w:eastAsia="Times New Roman" w:cs="Times New Roman"/>
                <w:color w:val="382E2C"/>
                <w:sz w:val="18"/>
                <w:szCs w:val="18"/>
                <w:lang w:eastAsia="ru-RU"/>
              </w:rPr>
              <w:t>п</w:t>
            </w:r>
            <w:proofErr w:type="gramEnd"/>
            <w:r w:rsidRPr="0009026C">
              <w:rPr>
                <w:rFonts w:eastAsia="Times New Roman" w:cs="Times New Roman"/>
                <w:color w:val="382E2C"/>
                <w:sz w:val="18"/>
                <w:szCs w:val="18"/>
                <w:lang w:eastAsia="ru-RU"/>
              </w:rPr>
              <w:t>/п</w:t>
            </w:r>
          </w:p>
        </w:tc>
        <w:tc>
          <w:tcPr>
            <w:tcW w:w="674"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Наименование муниципального имущества</w:t>
            </w:r>
          </w:p>
        </w:tc>
        <w:tc>
          <w:tcPr>
            <w:tcW w:w="584"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Адрес объекта муниципального имущества</w:t>
            </w:r>
          </w:p>
        </w:tc>
        <w:tc>
          <w:tcPr>
            <w:tcW w:w="364"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Площадь,</w:t>
            </w:r>
          </w:p>
          <w:p w:rsidR="000B3081" w:rsidRPr="0009026C" w:rsidRDefault="000B3081" w:rsidP="0009026C">
            <w:pPr>
              <w:spacing w:after="300"/>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кв.м.</w:t>
            </w:r>
          </w:p>
        </w:tc>
        <w:tc>
          <w:tcPr>
            <w:tcW w:w="437"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Балансодержатель</w:t>
            </w:r>
          </w:p>
        </w:tc>
        <w:tc>
          <w:tcPr>
            <w:tcW w:w="510"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Сведения об обременении</w:t>
            </w:r>
          </w:p>
        </w:tc>
        <w:tc>
          <w:tcPr>
            <w:tcW w:w="510" w:type="pct"/>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Назначение использования объекта при сдаче в аренду</w:t>
            </w:r>
          </w:p>
        </w:tc>
        <w:tc>
          <w:tcPr>
            <w:tcW w:w="1121" w:type="pct"/>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Отметка о внесении в Перечень</w:t>
            </w:r>
          </w:p>
        </w:tc>
        <w:tc>
          <w:tcPr>
            <w:tcW w:w="525" w:type="pct"/>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Отметка об исключении из перечня</w:t>
            </w:r>
          </w:p>
        </w:tc>
      </w:tr>
      <w:tr w:rsidR="007C2274" w:rsidRPr="0009026C" w:rsidTr="007C2274">
        <w:trPr>
          <w:trHeight w:val="1105"/>
        </w:trPr>
        <w:tc>
          <w:tcPr>
            <w:tcW w:w="274" w:type="pct"/>
            <w:vMerge/>
            <w:tcBorders>
              <w:top w:val="single" w:sz="6" w:space="0" w:color="CCCCCC"/>
              <w:left w:val="single" w:sz="6" w:space="0" w:color="CCCCCC"/>
              <w:bottom w:val="single" w:sz="6" w:space="0" w:color="CCCCCC"/>
              <w:right w:val="single" w:sz="6" w:space="0" w:color="CCCCCC"/>
            </w:tcBorders>
            <w:vAlign w:val="center"/>
            <w:hideMark/>
          </w:tcPr>
          <w:p w:rsidR="000B3081" w:rsidRPr="0009026C" w:rsidRDefault="000B3081" w:rsidP="000B3081">
            <w:pPr>
              <w:rPr>
                <w:rFonts w:eastAsia="Times New Roman" w:cs="Times New Roman"/>
                <w:color w:val="382E2C"/>
                <w:sz w:val="18"/>
                <w:szCs w:val="18"/>
                <w:lang w:eastAsia="ru-RU"/>
              </w:rPr>
            </w:pPr>
          </w:p>
        </w:tc>
        <w:tc>
          <w:tcPr>
            <w:tcW w:w="674"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584"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364"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437"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510"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510" w:type="pct"/>
            <w:vMerge/>
            <w:tcBorders>
              <w:top w:val="single" w:sz="6" w:space="0" w:color="CCCCCC"/>
              <w:left w:val="single" w:sz="6" w:space="0" w:color="CCCCCC"/>
              <w:bottom w:val="single" w:sz="6" w:space="0" w:color="CCCCCC"/>
              <w:right w:val="single" w:sz="6" w:space="0" w:color="CCCCCC"/>
            </w:tcBorders>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p>
        </w:tc>
        <w:tc>
          <w:tcPr>
            <w:tcW w:w="43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Дата</w:t>
            </w:r>
          </w:p>
        </w:tc>
        <w:tc>
          <w:tcPr>
            <w:tcW w:w="68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Основание</w:t>
            </w: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Дата</w:t>
            </w: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0B3081" w:rsidRPr="0009026C" w:rsidRDefault="000B3081" w:rsidP="0009026C">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Основание</w:t>
            </w:r>
          </w:p>
        </w:tc>
      </w:tr>
      <w:tr w:rsidR="007C2274" w:rsidRPr="0009026C" w:rsidTr="007C2274">
        <w:trPr>
          <w:trHeight w:val="120"/>
        </w:trPr>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1</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2</w:t>
            </w:r>
          </w:p>
        </w:tc>
        <w:tc>
          <w:tcPr>
            <w:tcW w:w="58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3</w:t>
            </w: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4</w:t>
            </w:r>
          </w:p>
        </w:tc>
        <w:tc>
          <w:tcPr>
            <w:tcW w:w="43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5</w:t>
            </w:r>
          </w:p>
        </w:tc>
        <w:tc>
          <w:tcPr>
            <w:tcW w:w="51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6</w:t>
            </w:r>
          </w:p>
        </w:tc>
        <w:tc>
          <w:tcPr>
            <w:tcW w:w="51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7</w:t>
            </w:r>
          </w:p>
        </w:tc>
        <w:tc>
          <w:tcPr>
            <w:tcW w:w="43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8</w:t>
            </w:r>
          </w:p>
        </w:tc>
        <w:tc>
          <w:tcPr>
            <w:tcW w:w="68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9</w:t>
            </w: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10</w:t>
            </w: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0B3081" w:rsidRPr="0009026C" w:rsidRDefault="000B3081"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11</w:t>
            </w:r>
          </w:p>
        </w:tc>
      </w:tr>
      <w:tr w:rsidR="007C2274" w:rsidRPr="0009026C" w:rsidTr="007C2274">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7C2274" w:rsidRPr="0009026C" w:rsidRDefault="007C2274"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 </w:t>
            </w:r>
            <w:r>
              <w:rPr>
                <w:rFonts w:eastAsia="Times New Roman" w:cs="Times New Roman"/>
                <w:color w:val="382E2C"/>
                <w:sz w:val="18"/>
                <w:szCs w:val="18"/>
                <w:lang w:eastAsia="ru-RU"/>
              </w:rPr>
              <w:t>1</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Стол</w:t>
            </w:r>
            <w:r w:rsidRPr="0009026C">
              <w:rPr>
                <w:rFonts w:eastAsia="Times New Roman" w:cs="Times New Roman"/>
                <w:color w:val="382E2C"/>
                <w:sz w:val="18"/>
                <w:szCs w:val="18"/>
                <w:lang w:eastAsia="ru-RU"/>
              </w:rPr>
              <w:t> </w:t>
            </w:r>
          </w:p>
        </w:tc>
        <w:tc>
          <w:tcPr>
            <w:tcW w:w="584"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Default="007C2274" w:rsidP="007C2274">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 </w:t>
            </w:r>
            <w:r>
              <w:rPr>
                <w:rFonts w:eastAsia="Times New Roman" w:cs="Times New Roman"/>
                <w:color w:val="382E2C"/>
                <w:sz w:val="18"/>
                <w:szCs w:val="18"/>
                <w:lang w:eastAsia="ru-RU"/>
              </w:rPr>
              <w:t>с.</w:t>
            </w:r>
            <w:r w:rsidR="00575CE7">
              <w:rPr>
                <w:rFonts w:eastAsia="Times New Roman" w:cs="Times New Roman"/>
                <w:color w:val="382E2C"/>
                <w:sz w:val="18"/>
                <w:szCs w:val="18"/>
                <w:lang w:eastAsia="ru-RU"/>
              </w:rPr>
              <w:t xml:space="preserve"> </w:t>
            </w:r>
            <w:r>
              <w:rPr>
                <w:rFonts w:eastAsia="Times New Roman" w:cs="Times New Roman"/>
                <w:color w:val="382E2C"/>
                <w:sz w:val="18"/>
                <w:szCs w:val="18"/>
                <w:lang w:eastAsia="ru-RU"/>
              </w:rPr>
              <w:t>Супонево</w:t>
            </w:r>
          </w:p>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ул.</w:t>
            </w:r>
            <w:r w:rsidR="00575CE7">
              <w:rPr>
                <w:rFonts w:eastAsia="Times New Roman" w:cs="Times New Roman"/>
                <w:color w:val="382E2C"/>
                <w:sz w:val="18"/>
                <w:szCs w:val="18"/>
                <w:lang w:eastAsia="ru-RU"/>
              </w:rPr>
              <w:t xml:space="preserve"> </w:t>
            </w:r>
            <w:r>
              <w:rPr>
                <w:rFonts w:eastAsia="Times New Roman" w:cs="Times New Roman"/>
                <w:color w:val="382E2C"/>
                <w:sz w:val="18"/>
                <w:szCs w:val="18"/>
                <w:lang w:eastAsia="ru-RU"/>
              </w:rPr>
              <w:t xml:space="preserve">Комсомольская </w:t>
            </w:r>
            <w:r w:rsidR="00575CE7">
              <w:rPr>
                <w:rFonts w:eastAsia="Times New Roman" w:cs="Times New Roman"/>
                <w:color w:val="382E2C"/>
                <w:sz w:val="18"/>
                <w:szCs w:val="18"/>
                <w:lang w:eastAsia="ru-RU"/>
              </w:rPr>
              <w:t xml:space="preserve"> </w:t>
            </w:r>
            <w:r>
              <w:rPr>
                <w:rFonts w:eastAsia="Times New Roman" w:cs="Times New Roman"/>
                <w:color w:val="382E2C"/>
                <w:sz w:val="18"/>
                <w:szCs w:val="18"/>
                <w:lang w:eastAsia="ru-RU"/>
              </w:rPr>
              <w:t>д.110</w:t>
            </w: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extDirection w:val="btLr"/>
            <w:vAlign w:val="center"/>
            <w:hideMark/>
          </w:tcPr>
          <w:p w:rsidR="007C2274" w:rsidRPr="0009026C" w:rsidRDefault="007C2274" w:rsidP="007C2274">
            <w:pPr>
              <w:ind w:left="113" w:right="113"/>
              <w:rPr>
                <w:rFonts w:eastAsia="Times New Roman" w:cs="Times New Roman"/>
                <w:color w:val="382E2C"/>
                <w:sz w:val="18"/>
                <w:szCs w:val="18"/>
                <w:lang w:eastAsia="ru-RU"/>
              </w:rPr>
            </w:pPr>
            <w:r w:rsidRPr="0009026C">
              <w:rPr>
                <w:rFonts w:eastAsia="Times New Roman" w:cs="Times New Roman"/>
                <w:color w:val="382E2C"/>
                <w:sz w:val="18"/>
                <w:szCs w:val="18"/>
                <w:lang w:eastAsia="ru-RU"/>
              </w:rPr>
              <w:t> </w:t>
            </w:r>
          </w:p>
        </w:tc>
        <w:tc>
          <w:tcPr>
            <w:tcW w:w="437"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Супоневская сельская администрация</w:t>
            </w:r>
          </w:p>
        </w:tc>
        <w:tc>
          <w:tcPr>
            <w:tcW w:w="510"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Имущество без обременений</w:t>
            </w:r>
          </w:p>
        </w:tc>
        <w:tc>
          <w:tcPr>
            <w:tcW w:w="510"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Оборудование рабочего  места</w:t>
            </w:r>
          </w:p>
        </w:tc>
        <w:tc>
          <w:tcPr>
            <w:tcW w:w="437"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10.08.2021  год</w:t>
            </w:r>
          </w:p>
        </w:tc>
        <w:tc>
          <w:tcPr>
            <w:tcW w:w="684" w:type="pct"/>
            <w:vMerge w:val="restart"/>
            <w:tcBorders>
              <w:top w:val="single" w:sz="6" w:space="0" w:color="CCCCCC"/>
              <w:left w:val="single" w:sz="6" w:space="0" w:color="CCCCCC"/>
              <w:right w:val="single" w:sz="6" w:space="0" w:color="CCCCCC"/>
            </w:tcBorders>
            <w:tcMar>
              <w:top w:w="75" w:type="dxa"/>
              <w:left w:w="150" w:type="dxa"/>
              <w:bottom w:w="75" w:type="dxa"/>
              <w:right w:w="150" w:type="dxa"/>
            </w:tcMar>
            <w:textDirection w:val="btLr"/>
            <w:vAlign w:val="center"/>
            <w:hideMark/>
          </w:tcPr>
          <w:p w:rsidR="007C2274"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 xml:space="preserve">Решение  Супоневского сельского Совета  </w:t>
            </w:r>
            <w:proofErr w:type="gramStart"/>
            <w:r>
              <w:rPr>
                <w:rFonts w:eastAsia="Times New Roman" w:cs="Times New Roman"/>
                <w:color w:val="382E2C"/>
                <w:sz w:val="18"/>
                <w:szCs w:val="18"/>
                <w:lang w:eastAsia="ru-RU"/>
              </w:rPr>
              <w:t>народных</w:t>
            </w:r>
            <w:proofErr w:type="gramEnd"/>
            <w:r>
              <w:rPr>
                <w:rFonts w:eastAsia="Times New Roman" w:cs="Times New Roman"/>
                <w:color w:val="382E2C"/>
                <w:sz w:val="18"/>
                <w:szCs w:val="18"/>
                <w:lang w:eastAsia="ru-RU"/>
              </w:rPr>
              <w:t xml:space="preserve"> депутатов   </w:t>
            </w:r>
          </w:p>
          <w:p w:rsidR="007C2274" w:rsidRPr="0009026C" w:rsidRDefault="007C2274" w:rsidP="007C2274">
            <w:pPr>
              <w:ind w:left="113" w:right="113"/>
              <w:rPr>
                <w:rFonts w:eastAsia="Times New Roman" w:cs="Times New Roman"/>
                <w:color w:val="382E2C"/>
                <w:sz w:val="18"/>
                <w:szCs w:val="18"/>
                <w:lang w:eastAsia="ru-RU"/>
              </w:rPr>
            </w:pPr>
            <w:r>
              <w:rPr>
                <w:rFonts w:eastAsia="Times New Roman" w:cs="Times New Roman"/>
                <w:color w:val="382E2C"/>
                <w:sz w:val="18"/>
                <w:szCs w:val="18"/>
                <w:lang w:eastAsia="ru-RU"/>
              </w:rPr>
              <w:t>№4-21-3 от 10.08.2021 г.</w:t>
            </w: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7C2274" w:rsidRPr="0009026C" w:rsidRDefault="007C2274"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 </w:t>
            </w: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7C2274" w:rsidRPr="0009026C" w:rsidRDefault="007C2274" w:rsidP="000B3081">
            <w:pPr>
              <w:rPr>
                <w:rFonts w:eastAsia="Times New Roman" w:cs="Times New Roman"/>
                <w:color w:val="382E2C"/>
                <w:sz w:val="18"/>
                <w:szCs w:val="18"/>
                <w:lang w:eastAsia="ru-RU"/>
              </w:rPr>
            </w:pPr>
            <w:r w:rsidRPr="0009026C">
              <w:rPr>
                <w:rFonts w:eastAsia="Times New Roman" w:cs="Times New Roman"/>
                <w:color w:val="382E2C"/>
                <w:sz w:val="18"/>
                <w:szCs w:val="18"/>
                <w:lang w:eastAsia="ru-RU"/>
              </w:rPr>
              <w:t> </w:t>
            </w:r>
          </w:p>
        </w:tc>
      </w:tr>
      <w:tr w:rsidR="007C2274" w:rsidRPr="0009026C" w:rsidTr="007C2274">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2</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Стул</w:t>
            </w:r>
          </w:p>
        </w:tc>
        <w:tc>
          <w:tcPr>
            <w:tcW w:w="5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6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r>
      <w:tr w:rsidR="007C2274" w:rsidRPr="0009026C" w:rsidTr="007C2274">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3</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Стул</w:t>
            </w:r>
          </w:p>
        </w:tc>
        <w:tc>
          <w:tcPr>
            <w:tcW w:w="5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6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r>
      <w:tr w:rsidR="007C2274" w:rsidRPr="0009026C" w:rsidTr="007C2274">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4</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Компьютер</w:t>
            </w:r>
          </w:p>
        </w:tc>
        <w:tc>
          <w:tcPr>
            <w:tcW w:w="5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6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r>
      <w:tr w:rsidR="007C2274" w:rsidRPr="0009026C" w:rsidTr="007C2274">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5</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Монитор</w:t>
            </w:r>
          </w:p>
        </w:tc>
        <w:tc>
          <w:tcPr>
            <w:tcW w:w="5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684" w:type="pct"/>
            <w:vMerge/>
            <w:tcBorders>
              <w:left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r>
      <w:tr w:rsidR="007C2274" w:rsidRPr="0009026C" w:rsidTr="007C2274">
        <w:trPr>
          <w:trHeight w:val="436"/>
        </w:trPr>
        <w:tc>
          <w:tcPr>
            <w:tcW w:w="2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6</w:t>
            </w:r>
          </w:p>
        </w:tc>
        <w:tc>
          <w:tcPr>
            <w:tcW w:w="67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r>
              <w:rPr>
                <w:rFonts w:eastAsia="Times New Roman" w:cs="Times New Roman"/>
                <w:color w:val="382E2C"/>
                <w:sz w:val="18"/>
                <w:szCs w:val="18"/>
                <w:lang w:eastAsia="ru-RU"/>
              </w:rPr>
              <w:t>Принтер</w:t>
            </w:r>
          </w:p>
        </w:tc>
        <w:tc>
          <w:tcPr>
            <w:tcW w:w="584"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3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510"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437"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684" w:type="pct"/>
            <w:vMerge/>
            <w:tcBorders>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c>
          <w:tcPr>
            <w:tcW w:w="260"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7C2274" w:rsidRPr="0009026C" w:rsidRDefault="007C2274" w:rsidP="000B3081">
            <w:pPr>
              <w:rPr>
                <w:rFonts w:eastAsia="Times New Roman" w:cs="Times New Roman"/>
                <w:color w:val="382E2C"/>
                <w:sz w:val="18"/>
                <w:szCs w:val="18"/>
                <w:lang w:eastAsia="ru-RU"/>
              </w:rPr>
            </w:pPr>
          </w:p>
        </w:tc>
      </w:tr>
    </w:tbl>
    <w:p w:rsidR="000654C5" w:rsidRPr="000654C5" w:rsidRDefault="000B3081" w:rsidP="0033267C">
      <w:pPr>
        <w:spacing w:after="300"/>
        <w:rPr>
          <w:rFonts w:cs="Times New Roman"/>
        </w:rPr>
      </w:pPr>
      <w:r w:rsidRPr="000654C5">
        <w:rPr>
          <w:rFonts w:eastAsia="Times New Roman" w:cs="Times New Roman"/>
          <w:color w:val="382E2C"/>
          <w:sz w:val="24"/>
          <w:szCs w:val="24"/>
          <w:lang w:eastAsia="ru-RU"/>
        </w:rPr>
        <w:t> </w:t>
      </w:r>
    </w:p>
    <w:sectPr w:rsidR="000654C5" w:rsidRPr="000654C5" w:rsidSect="0096489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668"/>
    <w:multiLevelType w:val="multilevel"/>
    <w:tmpl w:val="98AED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764BB"/>
    <w:multiLevelType w:val="multilevel"/>
    <w:tmpl w:val="27C03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4565A"/>
    <w:multiLevelType w:val="multilevel"/>
    <w:tmpl w:val="F496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55655"/>
    <w:multiLevelType w:val="multilevel"/>
    <w:tmpl w:val="63F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31A94"/>
    <w:multiLevelType w:val="multilevel"/>
    <w:tmpl w:val="C5CC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81"/>
    <w:rsid w:val="000654C5"/>
    <w:rsid w:val="0009026C"/>
    <w:rsid w:val="000B3081"/>
    <w:rsid w:val="0033267C"/>
    <w:rsid w:val="004B2A19"/>
    <w:rsid w:val="0055308F"/>
    <w:rsid w:val="00575CE7"/>
    <w:rsid w:val="005875F6"/>
    <w:rsid w:val="00793052"/>
    <w:rsid w:val="007C2274"/>
    <w:rsid w:val="00964894"/>
    <w:rsid w:val="00A95FF7"/>
    <w:rsid w:val="00B06117"/>
    <w:rsid w:val="00BD6743"/>
    <w:rsid w:val="00CF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08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B3081"/>
    <w:rPr>
      <w:b/>
      <w:bCs/>
    </w:rPr>
  </w:style>
  <w:style w:type="character" w:styleId="a5">
    <w:name w:val="Hyperlink"/>
    <w:basedOn w:val="a0"/>
    <w:uiPriority w:val="99"/>
    <w:semiHidden/>
    <w:unhideWhenUsed/>
    <w:rsid w:val="000B3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081"/>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B3081"/>
    <w:rPr>
      <w:b/>
      <w:bCs/>
    </w:rPr>
  </w:style>
  <w:style w:type="character" w:styleId="a5">
    <w:name w:val="Hyperlink"/>
    <w:basedOn w:val="a0"/>
    <w:uiPriority w:val="99"/>
    <w:semiHidden/>
    <w:unhideWhenUsed/>
    <w:rsid w:val="000B3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Handozhko</dc:creator>
  <cp:lastModifiedBy>Handozhko</cp:lastModifiedBy>
  <cp:revision>11</cp:revision>
  <dcterms:created xsi:type="dcterms:W3CDTF">2021-08-04T06:38:00Z</dcterms:created>
  <dcterms:modified xsi:type="dcterms:W3CDTF">2021-08-26T05:59:00Z</dcterms:modified>
</cp:coreProperties>
</file>